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355D" w14:textId="77777777" w:rsidR="00665217" w:rsidRPr="00FB49D1" w:rsidRDefault="00665217" w:rsidP="00665217">
      <w:pPr>
        <w:rPr>
          <w:u w:val="single"/>
          <w:lang w:val="en-GB"/>
        </w:rPr>
      </w:pPr>
      <w:r w:rsidRPr="00C23176">
        <w:rPr>
          <w:u w:val="single"/>
          <w:lang w:val="en-GB"/>
        </w:rPr>
        <w:t>Basically most of the analysts are using the net cash position in Technip Balance sheet without restating it for contract liabilities. This is not adequate</w:t>
      </w:r>
      <w:r>
        <w:rPr>
          <w:u w:val="single"/>
          <w:lang w:val="en-GB"/>
        </w:rPr>
        <w:t xml:space="preserve">. </w:t>
      </w:r>
      <w:r w:rsidRPr="00475DA6">
        <w:rPr>
          <w:u w:val="single"/>
          <w:lang w:val="en-GB"/>
        </w:rPr>
        <w:t>It does lower artificially the EV and the EV/ebit multiples. It does explain why Technip Energies’s multiples looks odd on Factset or Bloomberg.</w:t>
      </w:r>
      <w:r>
        <w:rPr>
          <w:u w:val="single"/>
          <w:lang w:val="en-GB"/>
        </w:rPr>
        <w:t xml:space="preserve"> </w:t>
      </w:r>
      <w:r>
        <w:rPr>
          <w:lang w:val="en-GB"/>
        </w:rPr>
        <w:t>It is very different from our estimation of the “true” net cash position as we calculate it (see next page) at around EUR150m..</w:t>
      </w:r>
    </w:p>
    <w:p w14:paraId="6B2FF172" w14:textId="77777777" w:rsidR="00665217" w:rsidRDefault="00665217" w:rsidP="00665217">
      <w:pPr>
        <w:rPr>
          <w:lang w:val="en-GB"/>
        </w:rPr>
      </w:pPr>
      <w:r w:rsidRPr="00C23176">
        <w:drawing>
          <wp:inline distT="0" distB="0" distL="0" distR="0" wp14:anchorId="6426EC56" wp14:editId="4445831F">
            <wp:extent cx="6297633" cy="866775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779" cy="86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E9941" w14:textId="77777777" w:rsidR="00665217" w:rsidRDefault="00665217" w:rsidP="00665217">
      <w:pPr>
        <w:rPr>
          <w:lang w:val="en-GB"/>
        </w:rPr>
      </w:pPr>
      <w:r w:rsidRPr="009E7594">
        <w:rPr>
          <w:lang w:val="en-GB"/>
        </w:rPr>
        <w:t>When doing the same exercise for Technip Energies’s competitors it looks like a number of adjustments have been made</w:t>
      </w:r>
      <w:r>
        <w:rPr>
          <w:lang w:val="en-GB"/>
        </w:rPr>
        <w:t>, albeit not for all, whilst little adjustments have been made for Technip Energies</w:t>
      </w:r>
      <w:r w:rsidRPr="009E7594">
        <w:rPr>
          <w:lang w:val="en-GB"/>
        </w:rPr>
        <w:t>.</w:t>
      </w:r>
    </w:p>
    <w:p w14:paraId="475A0963" w14:textId="77777777" w:rsidR="00665217" w:rsidRPr="00A614D2" w:rsidRDefault="00665217" w:rsidP="00665217">
      <w:pPr>
        <w:rPr>
          <w:lang w:val="en-GB"/>
        </w:rPr>
      </w:pPr>
      <w:r w:rsidRPr="009E7594">
        <w:drawing>
          <wp:inline distT="0" distB="0" distL="0" distR="0" wp14:anchorId="39C41AF9" wp14:editId="334B8CB6">
            <wp:extent cx="6125845" cy="1195387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987" cy="119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1FD16" w14:textId="577D63A2" w:rsidR="00CD656B" w:rsidRPr="00665217" w:rsidRDefault="00CD656B">
      <w:pPr>
        <w:rPr>
          <w:lang w:val="en-GB"/>
        </w:rPr>
      </w:pPr>
    </w:p>
    <w:sectPr w:rsidR="00CD656B" w:rsidRPr="00665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17"/>
    <w:rsid w:val="00665217"/>
    <w:rsid w:val="00C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91B3"/>
  <w15:chartTrackingRefBased/>
  <w15:docId w15:val="{E8B425BC-3D1A-4D43-A10F-74D2FB48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Swathi Upadhyaya</dc:creator>
  <cp:keywords/>
  <dc:description/>
  <cp:lastModifiedBy>Swathi Upadhyaya</cp:lastModifiedBy>
  <cp:revision>1</cp:revision>
  <dcterms:created xsi:type="dcterms:W3CDTF">2022-02-28T10:25:00Z</dcterms:created>
  <dcterms:modified xsi:type="dcterms:W3CDTF">2022-02-28T10:26:00Z</dcterms:modified>
</cp:coreProperties>
</file>